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71" w:rsidRDefault="007B7E71" w:rsidP="007B7E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9A3366"/>
          <w:sz w:val="28"/>
          <w:szCs w:val="28"/>
        </w:rPr>
      </w:pPr>
      <w:r>
        <w:rPr>
          <w:rFonts w:ascii="Arial" w:hAnsi="Arial" w:cs="Arial"/>
          <w:color w:val="9A3366"/>
          <w:sz w:val="28"/>
          <w:szCs w:val="28"/>
        </w:rPr>
        <w:t>FICHA TÉCNICA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9A3366"/>
          <w:sz w:val="28"/>
          <w:szCs w:val="28"/>
        </w:rPr>
      </w:pP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9A3366"/>
          <w:sz w:val="20"/>
          <w:szCs w:val="20"/>
        </w:rPr>
        <w:t xml:space="preserve">1. </w:t>
      </w:r>
      <w:r>
        <w:rPr>
          <w:rFonts w:ascii="Arial" w:hAnsi="Arial" w:cs="Arial"/>
          <w:color w:val="9A3366"/>
          <w:sz w:val="20"/>
          <w:szCs w:val="20"/>
        </w:rPr>
        <w:t>Designação</w:t>
      </w:r>
      <w:r>
        <w:rPr>
          <w:rFonts w:ascii="Arial" w:hAnsi="Arial" w:cs="Arial"/>
          <w:b/>
          <w:bCs/>
          <w:color w:val="000000"/>
          <w:sz w:val="20"/>
          <w:szCs w:val="20"/>
        </w:rPr>
        <w:t>: Picanha de Bovino (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Cap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of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Rump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9A3366"/>
          <w:sz w:val="20"/>
          <w:szCs w:val="20"/>
        </w:rPr>
        <w:t xml:space="preserve">2. </w:t>
      </w:r>
      <w:r>
        <w:rPr>
          <w:rFonts w:ascii="Arial" w:hAnsi="Arial" w:cs="Arial"/>
          <w:color w:val="9A3366"/>
          <w:sz w:val="20"/>
          <w:szCs w:val="20"/>
        </w:rPr>
        <w:t xml:space="preserve">Espécie: </w:t>
      </w:r>
      <w:r>
        <w:rPr>
          <w:rFonts w:ascii="Arial" w:hAnsi="Arial" w:cs="Arial"/>
          <w:b/>
          <w:bCs/>
          <w:color w:val="000000"/>
          <w:sz w:val="20"/>
          <w:szCs w:val="20"/>
        </w:rPr>
        <w:t>Bovino (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Bos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taurus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9A3366"/>
          <w:sz w:val="20"/>
          <w:szCs w:val="20"/>
        </w:rPr>
        <w:t xml:space="preserve">3. </w:t>
      </w:r>
      <w:r>
        <w:rPr>
          <w:rFonts w:ascii="Arial" w:hAnsi="Arial" w:cs="Arial"/>
          <w:color w:val="9A3366"/>
          <w:sz w:val="20"/>
          <w:szCs w:val="20"/>
        </w:rPr>
        <w:t>Definição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Peça constituída pelos músculos que preenche a fossa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sacro-iliaca</w:t>
      </w:r>
      <w:proofErr w:type="spellEnd"/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resultante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de um corte com início na inserção tendinosa do músculo da face anterior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da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coxa a nível da patela (musculo tensor da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fascia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lata) e de um corte partindo da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face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ventral da tuberosidade isquiática passando pela articulação coxo-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femural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atinge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 corte anterior (musculo glúteo femoral). A picanha corresponde à parte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superior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do músculo glúteo-bicipital.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A3366"/>
          <w:sz w:val="20"/>
          <w:szCs w:val="20"/>
        </w:rPr>
      </w:pPr>
      <w:r>
        <w:rPr>
          <w:rFonts w:ascii="Arial" w:hAnsi="Arial" w:cs="Arial"/>
          <w:b/>
          <w:bCs/>
          <w:color w:val="9A3366"/>
          <w:sz w:val="20"/>
          <w:szCs w:val="20"/>
        </w:rPr>
        <w:t xml:space="preserve">4. </w:t>
      </w:r>
      <w:r>
        <w:rPr>
          <w:rFonts w:ascii="Arial" w:hAnsi="Arial" w:cs="Arial"/>
          <w:color w:val="9A3366"/>
          <w:sz w:val="20"/>
          <w:szCs w:val="20"/>
        </w:rPr>
        <w:t>Apresentação</w:t>
      </w:r>
      <w:r>
        <w:rPr>
          <w:rFonts w:ascii="Arial" w:hAnsi="Arial" w:cs="Arial"/>
          <w:b/>
          <w:bCs/>
          <w:color w:val="9A3366"/>
          <w:sz w:val="20"/>
          <w:szCs w:val="20"/>
        </w:rPr>
        <w:t>: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. Calibre – Peso médio da peça 0,7 a 2 kg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9A3366"/>
          <w:sz w:val="20"/>
          <w:szCs w:val="20"/>
        </w:rPr>
        <w:t xml:space="preserve">5. </w:t>
      </w:r>
      <w:r>
        <w:rPr>
          <w:rFonts w:ascii="Arial" w:hAnsi="Arial" w:cs="Arial"/>
          <w:color w:val="9A3366"/>
          <w:sz w:val="20"/>
          <w:szCs w:val="20"/>
        </w:rPr>
        <w:t xml:space="preserve">Processamento: </w:t>
      </w:r>
      <w:r>
        <w:rPr>
          <w:rFonts w:ascii="Arial" w:hAnsi="Arial" w:cs="Arial"/>
          <w:b/>
          <w:bCs/>
          <w:color w:val="000000"/>
          <w:sz w:val="20"/>
          <w:szCs w:val="20"/>
        </w:rPr>
        <w:t>Corte e Refrigeração/Ultracongelação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9A3366"/>
          <w:sz w:val="20"/>
          <w:szCs w:val="20"/>
        </w:rPr>
        <w:t xml:space="preserve">6. </w:t>
      </w:r>
      <w:r>
        <w:rPr>
          <w:rFonts w:ascii="Arial" w:hAnsi="Arial" w:cs="Arial"/>
          <w:color w:val="9A3366"/>
          <w:sz w:val="20"/>
          <w:szCs w:val="20"/>
        </w:rPr>
        <w:t xml:space="preserve">Origem: </w:t>
      </w:r>
      <w:r>
        <w:rPr>
          <w:rFonts w:ascii="Arial" w:hAnsi="Arial" w:cs="Arial"/>
          <w:b/>
          <w:bCs/>
          <w:color w:val="000000"/>
          <w:sz w:val="20"/>
          <w:szCs w:val="20"/>
        </w:rPr>
        <w:t>Não EU (Argentina, Austrália, Brasil,</w:t>
      </w:r>
      <w:r w:rsidR="00CD505B">
        <w:rPr>
          <w:rFonts w:ascii="Arial" w:hAnsi="Arial" w:cs="Arial"/>
          <w:b/>
          <w:bCs/>
          <w:color w:val="000000"/>
          <w:sz w:val="20"/>
          <w:szCs w:val="20"/>
        </w:rPr>
        <w:t xml:space="preserve"> Paraguai,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Estados Unidos da Améria, Namíbia,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Nova Zelândia, Uruguai)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3366"/>
          <w:sz w:val="20"/>
          <w:szCs w:val="20"/>
        </w:rPr>
      </w:pPr>
      <w:r>
        <w:rPr>
          <w:rFonts w:ascii="Arial" w:hAnsi="Arial" w:cs="Arial"/>
          <w:b/>
          <w:bCs/>
          <w:color w:val="9A3366"/>
          <w:sz w:val="20"/>
          <w:szCs w:val="20"/>
        </w:rPr>
        <w:t xml:space="preserve">7. </w:t>
      </w:r>
      <w:r>
        <w:rPr>
          <w:rFonts w:ascii="Arial" w:hAnsi="Arial" w:cs="Arial"/>
          <w:color w:val="9A3366"/>
          <w:sz w:val="20"/>
          <w:szCs w:val="20"/>
        </w:rPr>
        <w:t>Acondicionamento: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Embalagem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primária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color w:val="000000"/>
          <w:sz w:val="20"/>
          <w:szCs w:val="20"/>
        </w:rPr>
        <w:t>Saco plástico protector (qualidade alimentar)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submetido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 vácuo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b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Embalagem secundária: </w:t>
      </w:r>
      <w:r>
        <w:rPr>
          <w:rFonts w:ascii="Arial" w:hAnsi="Arial" w:cs="Arial"/>
          <w:b/>
          <w:bCs/>
          <w:color w:val="000000"/>
          <w:sz w:val="20"/>
          <w:szCs w:val="20"/>
        </w:rPr>
        <w:t>Embalagens de cartão canelado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. Calibre único – Peso médio da caixa 16 a 18 kg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3366"/>
          <w:sz w:val="20"/>
          <w:szCs w:val="20"/>
        </w:rPr>
      </w:pPr>
      <w:r>
        <w:rPr>
          <w:rFonts w:ascii="Arial" w:hAnsi="Arial" w:cs="Arial"/>
          <w:b/>
          <w:bCs/>
          <w:color w:val="9A3366"/>
          <w:sz w:val="20"/>
          <w:szCs w:val="20"/>
        </w:rPr>
        <w:t xml:space="preserve">8. </w:t>
      </w:r>
      <w:r>
        <w:rPr>
          <w:rFonts w:ascii="Arial" w:hAnsi="Arial" w:cs="Arial"/>
          <w:color w:val="9A3366"/>
          <w:sz w:val="20"/>
          <w:szCs w:val="20"/>
        </w:rPr>
        <w:t>Período de Conservação: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. Refrigerado: até 180 dias após data de produção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b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. Ultracongelado: até 36 meses após data de produção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3366"/>
          <w:sz w:val="20"/>
          <w:szCs w:val="20"/>
        </w:rPr>
      </w:pPr>
      <w:r>
        <w:rPr>
          <w:rFonts w:ascii="Arial" w:hAnsi="Arial" w:cs="Arial"/>
          <w:b/>
          <w:bCs/>
          <w:color w:val="9A3366"/>
          <w:sz w:val="20"/>
          <w:szCs w:val="20"/>
        </w:rPr>
        <w:t xml:space="preserve">9. </w:t>
      </w:r>
      <w:r>
        <w:rPr>
          <w:rFonts w:ascii="Arial" w:hAnsi="Arial" w:cs="Arial"/>
          <w:color w:val="9A3366"/>
          <w:sz w:val="20"/>
          <w:szCs w:val="20"/>
        </w:rPr>
        <w:t>Condições de Conservação: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Refrigerado: </w:t>
      </w:r>
      <w:r>
        <w:rPr>
          <w:rFonts w:ascii="Arial" w:hAnsi="Arial" w:cs="Arial"/>
          <w:b/>
          <w:bCs/>
          <w:color w:val="000000"/>
          <w:sz w:val="20"/>
          <w:szCs w:val="20"/>
        </w:rPr>
        <w:t>A uma temperatura estável de 0 a 2ºC ou inferior, em todos os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seus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pontos.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b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Ultracongelado: </w:t>
      </w:r>
      <w:r>
        <w:rPr>
          <w:rFonts w:ascii="Arial" w:hAnsi="Arial" w:cs="Arial"/>
          <w:b/>
          <w:bCs/>
          <w:color w:val="000000"/>
          <w:sz w:val="20"/>
          <w:szCs w:val="20"/>
        </w:rPr>
        <w:t>A uma temperatura estável de -18ºC ou inferior, em todos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os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seus pontos.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8080"/>
          <w:sz w:val="20"/>
          <w:szCs w:val="20"/>
        </w:rPr>
      </w:pPr>
      <w:r>
        <w:rPr>
          <w:rFonts w:ascii="Arial" w:hAnsi="Arial" w:cs="Arial"/>
          <w:b/>
          <w:bCs/>
          <w:color w:val="808080"/>
          <w:sz w:val="20"/>
          <w:szCs w:val="20"/>
        </w:rPr>
        <w:t>Nota: No transporte e venda, admitem-se as seguintes tolerâncias máximas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808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808080"/>
          <w:sz w:val="20"/>
          <w:szCs w:val="20"/>
        </w:rPr>
        <w:t>quanto</w:t>
      </w:r>
      <w:proofErr w:type="gramEnd"/>
      <w:r>
        <w:rPr>
          <w:rFonts w:ascii="Arial" w:hAnsi="Arial" w:cs="Arial"/>
          <w:b/>
          <w:bCs/>
          <w:color w:val="808080"/>
          <w:sz w:val="20"/>
          <w:szCs w:val="20"/>
        </w:rPr>
        <w:t xml:space="preserve"> à temperatura dos produtos ultracongelados: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8080"/>
          <w:sz w:val="20"/>
          <w:szCs w:val="20"/>
        </w:rPr>
      </w:pPr>
      <w:r>
        <w:rPr>
          <w:rFonts w:ascii="Arial" w:hAnsi="Arial" w:cs="Arial"/>
          <w:b/>
          <w:bCs/>
          <w:color w:val="808080"/>
          <w:sz w:val="20"/>
          <w:szCs w:val="20"/>
        </w:rPr>
        <w:t>No transporte: 3ºC;</w:t>
      </w:r>
    </w:p>
    <w:p w:rsidR="0042729F" w:rsidRDefault="007B7E71" w:rsidP="007B7E71">
      <w:pPr>
        <w:rPr>
          <w:rFonts w:ascii="Arial" w:hAnsi="Arial" w:cs="Arial"/>
          <w:b/>
          <w:bCs/>
          <w:color w:val="808080"/>
          <w:sz w:val="20"/>
          <w:szCs w:val="20"/>
        </w:rPr>
      </w:pPr>
      <w:r>
        <w:rPr>
          <w:rFonts w:ascii="Arial" w:hAnsi="Arial" w:cs="Arial"/>
          <w:b/>
          <w:bCs/>
          <w:color w:val="808080"/>
          <w:sz w:val="20"/>
          <w:szCs w:val="20"/>
        </w:rPr>
        <w:t>Nos expositores de venda: 6ºC.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9A3366"/>
          <w:sz w:val="20"/>
          <w:szCs w:val="20"/>
        </w:rPr>
        <w:t xml:space="preserve">10. </w:t>
      </w:r>
      <w:r>
        <w:rPr>
          <w:rFonts w:ascii="Arial" w:hAnsi="Arial" w:cs="Arial"/>
          <w:color w:val="9A3366"/>
          <w:sz w:val="20"/>
          <w:szCs w:val="20"/>
        </w:rPr>
        <w:t>Publico alvo</w:t>
      </w:r>
      <w:r>
        <w:rPr>
          <w:rFonts w:ascii="Arial" w:hAnsi="Arial" w:cs="Arial"/>
          <w:b/>
          <w:bCs/>
          <w:color w:val="9A3366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color w:val="000000"/>
          <w:sz w:val="20"/>
          <w:szCs w:val="20"/>
        </w:rPr>
        <w:t>público em geral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9A3366"/>
          <w:sz w:val="20"/>
          <w:szCs w:val="20"/>
        </w:rPr>
        <w:t xml:space="preserve">11. </w:t>
      </w:r>
      <w:r>
        <w:rPr>
          <w:rFonts w:ascii="Arial" w:hAnsi="Arial" w:cs="Arial"/>
          <w:color w:val="9A3366"/>
          <w:sz w:val="20"/>
          <w:szCs w:val="20"/>
        </w:rPr>
        <w:t xml:space="preserve">Advertências: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Necessita confecção completa antes do consumo. Sem presença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de</w:t>
      </w:r>
      <w:proofErr w:type="gramEnd"/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substâncias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com propriedades alérgicas.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9A3366"/>
          <w:sz w:val="20"/>
          <w:szCs w:val="20"/>
        </w:rPr>
        <w:t xml:space="preserve">12. </w:t>
      </w:r>
      <w:r>
        <w:rPr>
          <w:rFonts w:ascii="Arial" w:hAnsi="Arial" w:cs="Arial"/>
          <w:color w:val="9A3366"/>
          <w:sz w:val="20"/>
          <w:szCs w:val="20"/>
        </w:rPr>
        <w:t xml:space="preserve">Utilização prevista: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processamento térmico (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temperatura &gt;65ºC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no centro térmico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do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produto durante pelo menos 2 minuto) necessário antes do consumo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3366"/>
          <w:sz w:val="20"/>
          <w:szCs w:val="20"/>
        </w:rPr>
      </w:pPr>
      <w:r>
        <w:rPr>
          <w:rFonts w:ascii="Arial" w:hAnsi="Arial" w:cs="Arial"/>
          <w:b/>
          <w:bCs/>
          <w:color w:val="9A3366"/>
          <w:sz w:val="20"/>
          <w:szCs w:val="20"/>
        </w:rPr>
        <w:t xml:space="preserve">13. </w:t>
      </w:r>
      <w:r>
        <w:rPr>
          <w:rFonts w:ascii="Arial" w:hAnsi="Arial" w:cs="Arial"/>
          <w:color w:val="9A3366"/>
          <w:sz w:val="20"/>
          <w:szCs w:val="20"/>
        </w:rPr>
        <w:t>Critérios microbiológicos aplicáveis*: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Salmonella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sp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 –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ausente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em 25g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b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Listeria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monocytogenes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– ausente em 25g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c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. Aeróbios totais a 30ºC – inferior a 10</w:t>
      </w:r>
      <w:r>
        <w:rPr>
          <w:rFonts w:ascii="Arial" w:hAnsi="Arial" w:cs="Arial"/>
          <w:b/>
          <w:bCs/>
          <w:color w:val="000000"/>
          <w:sz w:val="13"/>
          <w:szCs w:val="13"/>
        </w:rPr>
        <w:t xml:space="preserve">6 </w:t>
      </w:r>
      <w:r>
        <w:rPr>
          <w:rFonts w:ascii="Arial" w:hAnsi="Arial" w:cs="Arial"/>
          <w:b/>
          <w:bCs/>
          <w:color w:val="000000"/>
          <w:sz w:val="20"/>
          <w:szCs w:val="20"/>
        </w:rPr>
        <w:t>UFC/g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Enterobacteriaceae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– inferior a 10</w:t>
      </w:r>
      <w:r>
        <w:rPr>
          <w:rFonts w:ascii="Arial" w:hAnsi="Arial" w:cs="Arial"/>
          <w:b/>
          <w:bCs/>
          <w:color w:val="000000"/>
          <w:sz w:val="13"/>
          <w:szCs w:val="13"/>
        </w:rPr>
        <w:t xml:space="preserve">4 </w:t>
      </w:r>
      <w:r>
        <w:rPr>
          <w:rFonts w:ascii="Arial" w:hAnsi="Arial" w:cs="Arial"/>
          <w:b/>
          <w:bCs/>
          <w:color w:val="000000"/>
          <w:sz w:val="20"/>
          <w:szCs w:val="20"/>
        </w:rPr>
        <w:t>UFC/g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S.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aureus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b/>
          <w:bCs/>
          <w:color w:val="000000"/>
          <w:sz w:val="20"/>
          <w:szCs w:val="20"/>
        </w:rPr>
        <w:t>inferior a 10</w:t>
      </w:r>
      <w:r>
        <w:rPr>
          <w:rFonts w:ascii="Arial" w:hAnsi="Arial" w:cs="Arial"/>
          <w:b/>
          <w:bCs/>
          <w:color w:val="000000"/>
          <w:sz w:val="13"/>
          <w:szCs w:val="13"/>
        </w:rPr>
        <w:t xml:space="preserve">2 </w:t>
      </w:r>
      <w:r>
        <w:rPr>
          <w:rFonts w:ascii="Arial" w:hAnsi="Arial" w:cs="Arial"/>
          <w:b/>
          <w:bCs/>
          <w:color w:val="000000"/>
          <w:sz w:val="20"/>
          <w:szCs w:val="20"/>
        </w:rPr>
        <w:t>UFC/g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*</w:t>
      </w:r>
      <w:r>
        <w:rPr>
          <w:rFonts w:ascii="Arial" w:hAnsi="Arial" w:cs="Arial"/>
          <w:color w:val="000000"/>
          <w:sz w:val="16"/>
          <w:szCs w:val="16"/>
        </w:rPr>
        <w:t>Informações fornecidas pelo produtor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3366"/>
          <w:sz w:val="20"/>
          <w:szCs w:val="20"/>
        </w:rPr>
      </w:pPr>
      <w:r>
        <w:rPr>
          <w:rFonts w:ascii="Arial" w:hAnsi="Arial" w:cs="Arial"/>
          <w:b/>
          <w:bCs/>
          <w:color w:val="9A3366"/>
          <w:sz w:val="20"/>
          <w:szCs w:val="20"/>
        </w:rPr>
        <w:t xml:space="preserve">14. </w:t>
      </w:r>
      <w:r>
        <w:rPr>
          <w:rFonts w:ascii="Arial" w:hAnsi="Arial" w:cs="Arial"/>
          <w:color w:val="9A3366"/>
          <w:sz w:val="20"/>
          <w:szCs w:val="20"/>
        </w:rPr>
        <w:t>Critérios físico-químicos/nutricionais aplicáveis (por 100g de parte edível)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  <w:szCs w:val="20"/>
        </w:rPr>
        <w:t>Valor Calórico 140 kcal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b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  <w:szCs w:val="20"/>
        </w:rPr>
        <w:t>Hidratos de Carbono 0g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c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Proteínas 21 g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  <w:szCs w:val="20"/>
        </w:rPr>
        <w:t>Gorduras Totais 6 g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  <w:szCs w:val="20"/>
        </w:rPr>
        <w:t>Gordura Saturada 2 g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f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  <w:szCs w:val="20"/>
        </w:rPr>
        <w:t>Colesterol 55 mg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g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  <w:szCs w:val="20"/>
        </w:rPr>
        <w:t>Fibra Alimentar 0 g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h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  <w:szCs w:val="20"/>
        </w:rPr>
        <w:t>Cálcio 11 mg</w:t>
      </w:r>
    </w:p>
    <w:p w:rsidR="007B7E71" w:rsidRDefault="007B7E71" w:rsidP="007B7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i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  <w:szCs w:val="20"/>
        </w:rPr>
        <w:t>Ferro 2,6 mg</w:t>
      </w:r>
    </w:p>
    <w:p w:rsidR="007B7E71" w:rsidRDefault="007B7E71" w:rsidP="007B7E71">
      <w:proofErr w:type="gramStart"/>
      <w:r>
        <w:rPr>
          <w:rFonts w:ascii="Arial" w:hAnsi="Arial" w:cs="Arial"/>
          <w:color w:val="000000"/>
          <w:sz w:val="20"/>
          <w:szCs w:val="20"/>
        </w:rPr>
        <w:t>j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  <w:szCs w:val="20"/>
        </w:rPr>
        <w:t>Sódio 65 mg</w:t>
      </w:r>
    </w:p>
    <w:sectPr w:rsidR="007B7E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71"/>
    <w:rsid w:val="0028035C"/>
    <w:rsid w:val="007B7E71"/>
    <w:rsid w:val="00CD505B"/>
    <w:rsid w:val="00E9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Duarte Lopes</dc:creator>
  <cp:lastModifiedBy>Duarte Lopes</cp:lastModifiedBy>
  <cp:revision>2</cp:revision>
  <dcterms:created xsi:type="dcterms:W3CDTF">2019-05-06T14:58:00Z</dcterms:created>
  <dcterms:modified xsi:type="dcterms:W3CDTF">2019-05-06T15:00:00Z</dcterms:modified>
</cp:coreProperties>
</file>