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D4" w:rsidRDefault="00010ED4" w:rsidP="00010E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6228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4F6228"/>
          <w:sz w:val="28"/>
          <w:szCs w:val="28"/>
        </w:rPr>
        <w:t>FICHA TÉCNICA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F6228"/>
          <w:sz w:val="20"/>
          <w:szCs w:val="20"/>
        </w:rPr>
        <w:t xml:space="preserve">1. Designação: </w:t>
      </w:r>
      <w:r>
        <w:rPr>
          <w:rFonts w:ascii="Arial" w:hAnsi="Arial" w:cs="Arial"/>
          <w:color w:val="000000"/>
          <w:sz w:val="20"/>
          <w:szCs w:val="20"/>
        </w:rPr>
        <w:t>Coto de Frango Congelado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F6228"/>
          <w:sz w:val="20"/>
          <w:szCs w:val="20"/>
        </w:rPr>
        <w:t xml:space="preserve">2. Espécie: </w:t>
      </w:r>
      <w:r>
        <w:rPr>
          <w:rFonts w:ascii="Arial" w:hAnsi="Arial" w:cs="Arial"/>
          <w:color w:val="000000"/>
          <w:sz w:val="20"/>
          <w:szCs w:val="20"/>
        </w:rPr>
        <w:t>Frango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Gallus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gallus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domesticus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F6228"/>
          <w:sz w:val="20"/>
          <w:szCs w:val="20"/>
        </w:rPr>
        <w:t>3. Definição</w:t>
      </w:r>
      <w:proofErr w:type="gramStart"/>
      <w:r>
        <w:rPr>
          <w:rFonts w:ascii="Arial" w:hAnsi="Arial" w:cs="Arial"/>
          <w:color w:val="4F62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peça constituída pelos músculos compreendidos pelo corte da articulação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fêmur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-tíbio-patelar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região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sacro-lombar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6228"/>
          <w:sz w:val="20"/>
          <w:szCs w:val="20"/>
        </w:rPr>
      </w:pPr>
      <w:r>
        <w:rPr>
          <w:rFonts w:ascii="Arial" w:hAnsi="Arial" w:cs="Arial"/>
          <w:color w:val="4F6228"/>
          <w:sz w:val="20"/>
          <w:szCs w:val="20"/>
        </w:rPr>
        <w:t>4. Calibre</w:t>
      </w:r>
      <w:r>
        <w:rPr>
          <w:rFonts w:ascii="Arial" w:hAnsi="Arial" w:cs="Arial"/>
          <w:color w:val="9A3366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0,2g a 0,4 k</w:t>
      </w:r>
      <w:r>
        <w:rPr>
          <w:rFonts w:ascii="Arial" w:hAnsi="Arial" w:cs="Arial"/>
          <w:color w:val="4F6228"/>
          <w:sz w:val="20"/>
          <w:szCs w:val="20"/>
        </w:rPr>
        <w:t>g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F6228"/>
          <w:sz w:val="20"/>
          <w:szCs w:val="20"/>
        </w:rPr>
        <w:t>5. Processamento</w:t>
      </w:r>
      <w:r>
        <w:rPr>
          <w:rFonts w:ascii="Arial" w:hAnsi="Arial" w:cs="Arial"/>
          <w:color w:val="9A3366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Abate, Depena, Evisceração, Corte, Embalagem e Ultracongelação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F6228"/>
          <w:sz w:val="20"/>
          <w:szCs w:val="20"/>
        </w:rPr>
        <w:t xml:space="preserve">6. Origem: </w:t>
      </w:r>
      <w:r>
        <w:rPr>
          <w:rFonts w:ascii="Arial" w:hAnsi="Arial" w:cs="Arial"/>
          <w:color w:val="000000"/>
          <w:sz w:val="20"/>
          <w:szCs w:val="20"/>
        </w:rPr>
        <w:t>UE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França,UK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Espanha, Polónia, Holanda, Bélgica, Alemanha)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6228"/>
          <w:sz w:val="20"/>
          <w:szCs w:val="20"/>
        </w:rPr>
      </w:pPr>
      <w:r>
        <w:rPr>
          <w:rFonts w:ascii="Arial" w:hAnsi="Arial" w:cs="Arial"/>
          <w:color w:val="4F6228"/>
          <w:sz w:val="20"/>
          <w:szCs w:val="20"/>
        </w:rPr>
        <w:t>7. Embalagem: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Embalagem primária: Plástico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protetor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(qualidade alimentar)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Embalagem secundária: Cartão canelado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F6228"/>
          <w:sz w:val="20"/>
          <w:szCs w:val="20"/>
        </w:rPr>
        <w:t xml:space="preserve">8. Período de Conservação: </w:t>
      </w:r>
      <w:r>
        <w:rPr>
          <w:rFonts w:ascii="Arial" w:hAnsi="Arial" w:cs="Arial"/>
          <w:color w:val="000000"/>
          <w:sz w:val="20"/>
          <w:szCs w:val="20"/>
        </w:rPr>
        <w:t>12 meses após data de produção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6228"/>
          <w:sz w:val="20"/>
          <w:szCs w:val="20"/>
        </w:rPr>
      </w:pPr>
      <w:r>
        <w:rPr>
          <w:rFonts w:ascii="Arial" w:hAnsi="Arial" w:cs="Arial"/>
          <w:color w:val="4F6228"/>
          <w:sz w:val="20"/>
          <w:szCs w:val="20"/>
        </w:rPr>
        <w:t>9. Condições de Conservação: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Ultracongelado: A uma temperatura estável de -18ºC ou inferior, em todos os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pontos.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20"/>
          <w:szCs w:val="20"/>
        </w:rPr>
      </w:pPr>
      <w:r>
        <w:rPr>
          <w:rFonts w:ascii="Arial" w:hAnsi="Arial" w:cs="Arial"/>
          <w:color w:val="818181"/>
          <w:sz w:val="20"/>
          <w:szCs w:val="20"/>
        </w:rPr>
        <w:t xml:space="preserve">Nota: No transporte e venda, admitem-se as seguintes tolerâncias máximas quanto </w:t>
      </w:r>
      <w:proofErr w:type="gramStart"/>
      <w:r>
        <w:rPr>
          <w:rFonts w:ascii="Arial" w:hAnsi="Arial" w:cs="Arial"/>
          <w:color w:val="818181"/>
          <w:sz w:val="20"/>
          <w:szCs w:val="20"/>
        </w:rPr>
        <w:t>à</w:t>
      </w:r>
      <w:proofErr w:type="gramEnd"/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20"/>
          <w:szCs w:val="20"/>
        </w:rPr>
      </w:pPr>
      <w:proofErr w:type="gramStart"/>
      <w:r>
        <w:rPr>
          <w:rFonts w:ascii="Arial" w:hAnsi="Arial" w:cs="Arial"/>
          <w:color w:val="818181"/>
          <w:sz w:val="20"/>
          <w:szCs w:val="20"/>
        </w:rPr>
        <w:t>temperatura</w:t>
      </w:r>
      <w:proofErr w:type="gramEnd"/>
      <w:r>
        <w:rPr>
          <w:rFonts w:ascii="Arial" w:hAnsi="Arial" w:cs="Arial"/>
          <w:color w:val="818181"/>
          <w:sz w:val="20"/>
          <w:szCs w:val="20"/>
        </w:rPr>
        <w:t xml:space="preserve"> dos produtos ultracongelados: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20"/>
          <w:szCs w:val="20"/>
        </w:rPr>
      </w:pPr>
      <w:r>
        <w:rPr>
          <w:rFonts w:ascii="Arial" w:hAnsi="Arial" w:cs="Arial"/>
          <w:color w:val="818181"/>
          <w:sz w:val="20"/>
          <w:szCs w:val="20"/>
        </w:rPr>
        <w:t>No transporte: 3ºC;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20"/>
          <w:szCs w:val="20"/>
        </w:rPr>
      </w:pPr>
      <w:r>
        <w:rPr>
          <w:rFonts w:ascii="Arial" w:hAnsi="Arial" w:cs="Arial"/>
          <w:color w:val="818181"/>
          <w:sz w:val="20"/>
          <w:szCs w:val="20"/>
        </w:rPr>
        <w:t>Nos expositores de venda: 6ºC.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F6228"/>
          <w:sz w:val="20"/>
          <w:szCs w:val="20"/>
        </w:rPr>
        <w:t xml:space="preserve">10. Publico alvo: </w:t>
      </w:r>
      <w:r>
        <w:rPr>
          <w:rFonts w:ascii="Arial" w:hAnsi="Arial" w:cs="Arial"/>
          <w:color w:val="000000"/>
          <w:sz w:val="20"/>
          <w:szCs w:val="20"/>
        </w:rPr>
        <w:t>público em geral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F6228"/>
          <w:sz w:val="20"/>
          <w:szCs w:val="20"/>
        </w:rPr>
        <w:t xml:space="preserve">11. Utilização prevista: </w:t>
      </w:r>
      <w:r>
        <w:rPr>
          <w:rFonts w:ascii="Arial" w:hAnsi="Arial" w:cs="Arial"/>
          <w:color w:val="000000"/>
          <w:sz w:val="20"/>
          <w:szCs w:val="20"/>
        </w:rPr>
        <w:t>processamento térmico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temperatura &gt;65ºC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 centro térmico do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produto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durante pelo menos 2 minutos) necessário antes do consumo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6228"/>
          <w:sz w:val="20"/>
          <w:szCs w:val="20"/>
        </w:rPr>
      </w:pPr>
      <w:r>
        <w:rPr>
          <w:rFonts w:ascii="Arial" w:hAnsi="Arial" w:cs="Arial"/>
          <w:color w:val="4F6228"/>
          <w:sz w:val="20"/>
          <w:szCs w:val="20"/>
        </w:rPr>
        <w:t>12. Critérios microbiológicos aplicáveis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Segurança do produto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Salmonella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N = 5,C=0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Resultados: Ausência em 25 g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Método analítico: EN/ISO 6579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6228"/>
        </w:rPr>
      </w:pPr>
      <w:r>
        <w:rPr>
          <w:rFonts w:ascii="Arial" w:hAnsi="Arial" w:cs="Arial"/>
          <w:color w:val="4F6228"/>
          <w:sz w:val="20"/>
          <w:szCs w:val="20"/>
        </w:rPr>
        <w:t xml:space="preserve">13. Perfil nutricional (por 100g de parte edível) </w:t>
      </w:r>
      <w:r>
        <w:rPr>
          <w:rFonts w:ascii="Arial" w:hAnsi="Arial" w:cs="Arial"/>
          <w:color w:val="4F6228"/>
        </w:rPr>
        <w:t>-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Valor Calórico 153 kcal = 643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kj</w:t>
      </w:r>
      <w:proofErr w:type="spellEnd"/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Glícidos 0 g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Proteínas 18 g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Gorduras Totais 9,0 g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Gordura Saturada 2,0 g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Colesterol 65 mg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g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Fibra Alimentar 0 g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Ferro 1,1 mg</w:t>
      </w:r>
    </w:p>
    <w:p w:rsidR="0042729F" w:rsidRDefault="00010ED4" w:rsidP="00010ED4"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Sódio – 112mg</w:t>
      </w:r>
    </w:p>
    <w:sectPr w:rsidR="00427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D4"/>
    <w:rsid w:val="00010ED4"/>
    <w:rsid w:val="0028035C"/>
    <w:rsid w:val="00E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Lopes</dc:creator>
  <cp:lastModifiedBy>Duarte Lopes</cp:lastModifiedBy>
  <cp:revision>2</cp:revision>
  <dcterms:created xsi:type="dcterms:W3CDTF">2019-05-06T18:11:00Z</dcterms:created>
  <dcterms:modified xsi:type="dcterms:W3CDTF">2019-05-06T18:11:00Z</dcterms:modified>
</cp:coreProperties>
</file>